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D" w:rsidRPr="00007FCD" w:rsidRDefault="00007FCD" w:rsidP="00007FC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УТВЕРЖДЕН</w:t>
      </w:r>
    </w:p>
    <w:p w:rsidR="00007FCD" w:rsidRPr="00007FCD" w:rsidRDefault="00007FCD" w:rsidP="00007FC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07FCD">
        <w:rPr>
          <w:rFonts w:ascii="Times New Roman" w:hAnsi="Times New Roman" w:cs="Times New Roman"/>
          <w:sz w:val="28"/>
          <w:szCs w:val="28"/>
        </w:rPr>
        <w:t>от «___»_________20</w:t>
      </w:r>
      <w:r w:rsidR="00833530">
        <w:rPr>
          <w:rFonts w:ascii="Times New Roman" w:hAnsi="Times New Roman" w:cs="Times New Roman"/>
          <w:sz w:val="28"/>
          <w:szCs w:val="28"/>
        </w:rPr>
        <w:t>20</w:t>
      </w:r>
      <w:r w:rsidRPr="00007FCD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FCD" w:rsidRPr="00007FCD" w:rsidRDefault="00007FCD" w:rsidP="00007F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FCD" w:rsidRPr="00007FCD" w:rsidRDefault="00007FCD" w:rsidP="00007FCD">
      <w:pPr>
        <w:jc w:val="center"/>
        <w:rPr>
          <w:szCs w:val="28"/>
        </w:rPr>
      </w:pPr>
      <w:r w:rsidRPr="00007FCD">
        <w:rPr>
          <w:szCs w:val="28"/>
        </w:rPr>
        <w:t>ПОРЯДОК</w:t>
      </w:r>
    </w:p>
    <w:p w:rsidR="00007FCD" w:rsidRPr="00007FCD" w:rsidRDefault="00007FCD" w:rsidP="00007FCD">
      <w:pPr>
        <w:spacing w:after="200" w:line="276" w:lineRule="auto"/>
        <w:jc w:val="center"/>
        <w:rPr>
          <w:szCs w:val="28"/>
        </w:rPr>
      </w:pPr>
      <w:r w:rsidRPr="00007FCD">
        <w:rPr>
          <w:szCs w:val="28"/>
        </w:rPr>
        <w:t>проведения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</w:t>
      </w:r>
    </w:p>
    <w:p w:rsidR="00007FCD" w:rsidRPr="00007FCD" w:rsidRDefault="00007FCD" w:rsidP="00007FCD">
      <w:pPr>
        <w:jc w:val="center"/>
        <w:rPr>
          <w:szCs w:val="28"/>
        </w:rPr>
      </w:pPr>
    </w:p>
    <w:p w:rsidR="00007FCD" w:rsidRPr="00007FCD" w:rsidRDefault="00007FCD" w:rsidP="00007FCD">
      <w:pPr>
        <w:spacing w:line="360" w:lineRule="auto"/>
        <w:ind w:firstLine="567"/>
        <w:rPr>
          <w:szCs w:val="28"/>
        </w:rPr>
      </w:pPr>
      <w:r w:rsidRPr="00007FCD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007FCD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007FCD">
        <w:rPr>
          <w:szCs w:val="28"/>
        </w:rPr>
        <w:t xml:space="preserve"> и определяет порядок проведения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 (далее – оценка банковских гарантий). 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В целях обеспечения принимается банковская гарантия российского банка (далее в настоящем постановлении – банка-гаранта), имеющего генеральную лицензию Центрального банка Российской Федерации на осуществление банковских операций, </w:t>
      </w:r>
      <w:proofErr w:type="gramStart"/>
      <w:r w:rsidRPr="00007F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07FCD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по величине собственных средств (капитала) входит в число первых ста крупнейших российских банков). Оценка банковских гарантий состоит из проведения анализа финансового состояния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2. Не допускается проведение процедур оценки банковских гарантий при наличии следующих обстоятельств: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bookmarkStart w:id="1" w:name="P182"/>
      <w:bookmarkEnd w:id="1"/>
      <w:r w:rsidRPr="00007FCD">
        <w:rPr>
          <w:szCs w:val="28"/>
        </w:rPr>
        <w:t>наличия просроченной (неурегулированной) задолженности по денежным обязательствам перед городским округом Октябрьск Самарской области,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>наличия просроченной задолженности по заработной плате;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lastRenderedPageBreak/>
        <w:t>осуществления в отношении банка-гаранта процедур ликвидации, реорганизации или банкротства в порядке, предусмотренном действующим законодательством;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 xml:space="preserve">осуществления в отношении банка-гаранта процедуры приостановления деятельности в порядке, предусмотренном </w:t>
      </w:r>
      <w:hyperlink r:id="rId7" w:history="1">
        <w:r w:rsidRPr="00007FCD">
          <w:rPr>
            <w:rStyle w:val="a3"/>
            <w:color w:val="auto"/>
            <w:szCs w:val="28"/>
            <w:u w:val="none"/>
          </w:rPr>
          <w:t>Кодексом</w:t>
        </w:r>
      </w:hyperlink>
      <w:r w:rsidRPr="00007FCD">
        <w:rPr>
          <w:szCs w:val="28"/>
        </w:rPr>
        <w:t xml:space="preserve"> Российской Федерации об административных правонарушениях;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007FCD">
        <w:rPr>
          <w:szCs w:val="28"/>
        </w:rPr>
        <w:t>величина чистых активов банка-гаранта на последнюю отчетную дату меньше величины, равной трехкратной сумме обеспечиваемой муниципальной гарантии городского округа Октябрьск Самарской области.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3.  В целях проведения оценки банковской гарантии банк-гарант, соответствующий требованиям, установленным </w:t>
      </w:r>
      <w:hyperlink r:id="rId8" w:anchor="P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принципалу для предоставления в Финансовое управление городского округа Октябрьск следующие документы: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письмо о намерении выступить банком-гарантом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лицензии </w:t>
      </w:r>
      <w:r w:rsidRPr="00007FCD">
        <w:rPr>
          <w:szCs w:val="28"/>
        </w:rPr>
        <w:t>банка-гаранта</w:t>
      </w:r>
      <w:r w:rsidRPr="00007FCD">
        <w:rPr>
          <w:rFonts w:eastAsia="Calibri"/>
          <w:szCs w:val="28"/>
          <w:lang w:eastAsia="en-US"/>
        </w:rPr>
        <w:t xml:space="preserve"> на осуществление банковских операций и иных лицензий, установленных действующим законодательством, заверенные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szCs w:val="28"/>
        </w:rPr>
        <w:t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банком-гарантом самостоятельно, управление получает соответствующие сведения с официального сайта Федеральной налоговой службы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учредительных документов </w:t>
      </w:r>
      <w:r w:rsidRPr="00007FCD">
        <w:rPr>
          <w:szCs w:val="28"/>
        </w:rPr>
        <w:t>банка-гаранта</w:t>
      </w:r>
      <w:r w:rsidRPr="00007FCD">
        <w:rPr>
          <w:rFonts w:eastAsia="Calibri"/>
          <w:szCs w:val="28"/>
          <w:lang w:eastAsia="en-US"/>
        </w:rPr>
        <w:t xml:space="preserve">, а также всех изменений и дополнений к ним, заверенные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lastRenderedPageBreak/>
        <w:t xml:space="preserve">копии документов, заверенных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, подтверждающих факт назначения уполномоченного лица, подписывающего банковскую гарантию;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</w:t>
      </w:r>
      <w:r w:rsidRPr="00007FCD">
        <w:rPr>
          <w:szCs w:val="28"/>
        </w:rPr>
        <w:t>банка-гаранта;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копия документа, заверенная банком-гарантом, подтверждающего согласие уполномоченного органа управления банка-гаранта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городского округа Октябрьск  Самарской области в связи с исполнением в полном объеме или в какой-либо части муниципальной гарантии городского округа Октябрьск  Самарской области;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007FCD">
        <w:rPr>
          <w:rFonts w:eastAsia="Calibri"/>
          <w:szCs w:val="28"/>
          <w:lang w:eastAsia="en-US"/>
        </w:rPr>
        <w:t>неприостановлении</w:t>
      </w:r>
      <w:proofErr w:type="spellEnd"/>
      <w:r w:rsidRPr="00007FCD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9" w:history="1"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007FCD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007FCD">
        <w:rPr>
          <w:rFonts w:eastAsia="Calibri"/>
          <w:szCs w:val="28"/>
          <w:lang w:eastAsia="en-US"/>
        </w:rPr>
        <w:t>непроведении</w:t>
      </w:r>
      <w:proofErr w:type="spellEnd"/>
      <w:r w:rsidRPr="00007FCD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копия свидетельства об участии банка-гаранта в системе страхования вкладов физических лиц, заверенная </w:t>
      </w:r>
      <w:r w:rsidRPr="00007FCD">
        <w:rPr>
          <w:szCs w:val="28"/>
        </w:rPr>
        <w:t>банком-гарантом</w:t>
      </w:r>
      <w:r w:rsidRPr="00007FCD">
        <w:rPr>
          <w:rFonts w:eastAsia="Calibri"/>
          <w:szCs w:val="28"/>
          <w:lang w:eastAsia="en-US"/>
        </w:rPr>
        <w:t>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 xml:space="preserve">копии бухгалтерского баланс банка-гаранта, </w:t>
      </w:r>
      <w:hyperlink r:id="rId10" w:history="1">
        <w:proofErr w:type="gramStart"/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отчет</w:t>
        </w:r>
        <w:proofErr w:type="gramEnd"/>
      </w:hyperlink>
      <w:r w:rsidRPr="00007FCD">
        <w:rPr>
          <w:szCs w:val="28"/>
        </w:rPr>
        <w:t>а</w:t>
      </w:r>
      <w:r w:rsidRPr="00007FCD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11" w:history="1">
        <w:r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007FCD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</w:t>
      </w:r>
      <w:r w:rsidRPr="00007FCD">
        <w:rPr>
          <w:rFonts w:eastAsia="Calibri"/>
          <w:szCs w:val="28"/>
          <w:lang w:eastAsia="en-US"/>
        </w:rPr>
        <w:lastRenderedPageBreak/>
        <w:t>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Финансовое управление городского округа Октябрьск:</w:t>
      </w:r>
    </w:p>
    <w:p w:rsidR="00007FCD" w:rsidRPr="00007FCD" w:rsidRDefault="008F5ABE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2" w:history="1">
        <w:r w:rsidR="00007FCD"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007FCD" w:rsidRPr="00007FCD">
        <w:rPr>
          <w:rFonts w:eastAsia="Calibri"/>
          <w:szCs w:val="28"/>
          <w:lang w:eastAsia="en-US"/>
        </w:rPr>
        <w:t xml:space="preserve"> о качестве активов банка-гаранта (код формы 0409115),</w:t>
      </w:r>
    </w:p>
    <w:p w:rsidR="00007FCD" w:rsidRPr="00007FCD" w:rsidRDefault="008F5ABE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3" w:history="1">
        <w:r w:rsidR="00007FCD" w:rsidRPr="00007FCD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007FCD" w:rsidRPr="00007FCD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0409135),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4. Финансовое управление городского округа Октябрьск возвращает банку-гаранту без рассмотрения документы, представленные для оценки банковской гарантии, в следующих случаях: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несоответствие банка-гаранта требованиям </w:t>
      </w:r>
      <w:hyperlink r:id="rId14" w:anchor="P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r:id="rId15" w:anchor="P182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6"/>
      <w:bookmarkEnd w:id="2"/>
      <w:r w:rsidRPr="00007FCD">
        <w:rPr>
          <w:rFonts w:ascii="Times New Roman" w:hAnsi="Times New Roman" w:cs="Times New Roman"/>
          <w:sz w:val="28"/>
          <w:szCs w:val="28"/>
        </w:rPr>
        <w:t>5. Оценка банковских гарантий осуществляется на основании следующих показателей: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муниципальных гарантий городского </w:t>
      </w:r>
      <w:r w:rsidRPr="00007FCD">
        <w:rPr>
          <w:rFonts w:ascii="Times New Roman" w:hAnsi="Times New Roman" w:cs="Times New Roman"/>
          <w:sz w:val="28"/>
          <w:szCs w:val="28"/>
        </w:rPr>
        <w:lastRenderedPageBreak/>
        <w:t>округа Октябрьск Самарской области;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6.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16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7FCD" w:rsidRPr="00007FCD" w:rsidRDefault="00007FCD" w:rsidP="00007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7. Надежной признается банковская гарантия, соответствующая совокупности всех показателей, установленных </w:t>
      </w:r>
      <w:hyperlink r:id="rId17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предоставленная банком-гарантом.</w:t>
      </w:r>
    </w:p>
    <w:p w:rsidR="00007FCD" w:rsidRPr="00007FCD" w:rsidRDefault="00007FCD" w:rsidP="00007FCD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007FCD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 гарантий городского округа Октябрьск Самарской области может служить только удовлетворительное финансовое состояние банка-гаранта.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8. Результаты проведенной оценки банковской гарантии оформляются на бланке Финансового управления городского округа Октябрьск в виде Заключения о проведении оценки надежности банковских гарантий, предоставляемых в обеспечение исполнения обязательств, при предоставлении муниципальной гарантии городского округа Октябрьск Самарской области, подписанного руководителем Финансового управления городского округа Октябрьск или лицом, его замещающим.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9. Заключение о проведении оценки надежности банковских гарантий, предоставляемых в обеспечение исполнения обязательств, при предоставлении муниципальной  гарантии городского округа Октябрьск Самарской области должно содержать: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007FCD" w:rsidRPr="00007FCD" w:rsidRDefault="00007FCD" w:rsidP="00007F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18" w:anchor="P206" w:history="1">
        <w:r w:rsidRPr="00007F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007F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F59F1" w:rsidRDefault="00007FCD" w:rsidP="00007FC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7FCD">
        <w:rPr>
          <w:rFonts w:ascii="Times New Roman" w:hAnsi="Times New Roman" w:cs="Times New Roman"/>
          <w:sz w:val="28"/>
          <w:szCs w:val="28"/>
        </w:rPr>
        <w:t>выводы.</w:t>
      </w:r>
    </w:p>
    <w:p w:rsidR="00A1253C" w:rsidRDefault="00A1253C" w:rsidP="00007FCD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253C" w:rsidRPr="00007FCD" w:rsidRDefault="00A1253C" w:rsidP="00A1253C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A1253C" w:rsidRPr="00007FCD" w:rsidSect="00B26BD8">
      <w:headerReference w:type="default" r:id="rId1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6B" w:rsidRDefault="00834F6B" w:rsidP="00B26BD8">
      <w:r>
        <w:separator/>
      </w:r>
    </w:p>
  </w:endnote>
  <w:endnote w:type="continuationSeparator" w:id="0">
    <w:p w:rsidR="00834F6B" w:rsidRDefault="00834F6B" w:rsidP="00B2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6B" w:rsidRDefault="00834F6B" w:rsidP="00B26BD8">
      <w:r>
        <w:separator/>
      </w:r>
    </w:p>
  </w:footnote>
  <w:footnote w:type="continuationSeparator" w:id="0">
    <w:p w:rsidR="00834F6B" w:rsidRDefault="00834F6B" w:rsidP="00B2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272658"/>
      <w:docPartObj>
        <w:docPartGallery w:val="Page Numbers (Top of Page)"/>
        <w:docPartUnique/>
      </w:docPartObj>
    </w:sdtPr>
    <w:sdtContent>
      <w:p w:rsidR="00B26BD8" w:rsidRDefault="008F5ABE">
        <w:pPr>
          <w:pStyle w:val="a4"/>
          <w:jc w:val="center"/>
        </w:pPr>
        <w:r>
          <w:fldChar w:fldCharType="begin"/>
        </w:r>
        <w:r w:rsidR="00B26BD8">
          <w:instrText>PAGE   \* MERGEFORMAT</w:instrText>
        </w:r>
        <w:r>
          <w:fldChar w:fldCharType="separate"/>
        </w:r>
        <w:r w:rsidR="001C4DA3">
          <w:rPr>
            <w:noProof/>
          </w:rPr>
          <w:t>5</w:t>
        </w:r>
        <w:r>
          <w:fldChar w:fldCharType="end"/>
        </w:r>
      </w:p>
    </w:sdtContent>
  </w:sdt>
  <w:p w:rsidR="00B26BD8" w:rsidRDefault="00B26B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13"/>
    <w:rsid w:val="00007FCD"/>
    <w:rsid w:val="001C4DA3"/>
    <w:rsid w:val="005026B8"/>
    <w:rsid w:val="006F1A59"/>
    <w:rsid w:val="00833530"/>
    <w:rsid w:val="00834F6B"/>
    <w:rsid w:val="008F5ABE"/>
    <w:rsid w:val="00A1253C"/>
    <w:rsid w:val="00B26BD8"/>
    <w:rsid w:val="00D14513"/>
    <w:rsid w:val="00DA4094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07F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07F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6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3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18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4E4475AEA93202AF5BAE6557B15CACCB1690AA50902E508EA44C26DE1217A6C9332934F43AF535D003BFA492AEmDG" TargetMode="External"/><Relationship Id="rId12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17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0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659FFA846BC3772B6A99881288702EB653209A81A296FC58988ED93D834BF253757DF32CB962BC55A2B501B5OEiFK" TargetMode="External"/><Relationship Id="rId14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2020-10-13T07:49:00Z</dcterms:created>
  <dcterms:modified xsi:type="dcterms:W3CDTF">2020-10-13T07:49:00Z</dcterms:modified>
</cp:coreProperties>
</file>